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E59A7" w14:textId="77777777" w:rsidR="00BE55A3" w:rsidRDefault="00D536E6">
      <w:pPr>
        <w:rPr>
          <w:u w:val="single"/>
        </w:rPr>
      </w:pPr>
      <w:r w:rsidRPr="00D536E6">
        <w:rPr>
          <w:u w:val="single"/>
        </w:rPr>
        <w:t>Fibromyalgia</w:t>
      </w:r>
    </w:p>
    <w:p w14:paraId="7367E745" w14:textId="77777777" w:rsidR="00FC4729" w:rsidRDefault="00FC4729"/>
    <w:p w14:paraId="4C4736BD" w14:textId="630BD8F5" w:rsidR="00723A5E" w:rsidRPr="00723A5E" w:rsidRDefault="00723A5E">
      <w:pPr>
        <w:rPr>
          <w:i/>
        </w:rPr>
      </w:pPr>
      <w:r w:rsidRPr="00723A5E">
        <w:rPr>
          <w:i/>
        </w:rPr>
        <w:t>What is it?</w:t>
      </w:r>
    </w:p>
    <w:p w14:paraId="4EC370D1" w14:textId="77777777" w:rsidR="0014177D" w:rsidRDefault="00654B9D">
      <w:r w:rsidRPr="00654B9D">
        <w:t xml:space="preserve">Fibromyalgia </w:t>
      </w:r>
      <w:r>
        <w:t>(FM) has been defined as a “painful non-articular condition of unknown cause predominantly involving muscles” (Simon, 2010).</w:t>
      </w:r>
    </w:p>
    <w:p w14:paraId="42F4AFED" w14:textId="77777777" w:rsidR="00FC4729" w:rsidRDefault="00FC4729"/>
    <w:p w14:paraId="7436A836" w14:textId="6FE01DB8" w:rsidR="00A34AAF" w:rsidRDefault="00A34AAF">
      <w:pPr>
        <w:rPr>
          <w:i/>
        </w:rPr>
      </w:pPr>
      <w:r>
        <w:rPr>
          <w:i/>
        </w:rPr>
        <w:t>Symptoms in brief</w:t>
      </w:r>
    </w:p>
    <w:p w14:paraId="400DFB21" w14:textId="6D7D59BA" w:rsidR="00FC4729" w:rsidRDefault="00FC4729">
      <w:r>
        <w:t xml:space="preserve">There is usually a history of </w:t>
      </w:r>
      <w:r w:rsidR="0008231B">
        <w:t>widespread pain</w:t>
      </w:r>
      <w:r w:rsidR="00065529">
        <w:t xml:space="preserve"> and fatigue</w:t>
      </w:r>
      <w:r w:rsidR="0008231B">
        <w:t>, which may be worsened by stress, cold and activity. Sleep is frequently affected, and there may be associate</w:t>
      </w:r>
      <w:r w:rsidR="00065529">
        <w:t xml:space="preserve">d abdominal symptoms, headaches, </w:t>
      </w:r>
      <w:r w:rsidR="0008231B">
        <w:t>urinary</w:t>
      </w:r>
      <w:r w:rsidR="00065529">
        <w:t xml:space="preserve"> symptoms and</w:t>
      </w:r>
      <w:r w:rsidR="0008231B">
        <w:t xml:space="preserve"> </w:t>
      </w:r>
      <w:r w:rsidR="00065529">
        <w:t>difficulties with memory and concentration (“fibro-fog”).</w:t>
      </w:r>
    </w:p>
    <w:p w14:paraId="65A7B2A5" w14:textId="77777777" w:rsidR="00065529" w:rsidRDefault="00065529"/>
    <w:p w14:paraId="03E110A9" w14:textId="6C48DDC3" w:rsidR="00A34AAF" w:rsidRPr="00A34AAF" w:rsidRDefault="00A34AAF">
      <w:pPr>
        <w:rPr>
          <w:i/>
        </w:rPr>
      </w:pPr>
      <w:r w:rsidRPr="00A34AAF">
        <w:rPr>
          <w:i/>
        </w:rPr>
        <w:t>Medical treatment</w:t>
      </w:r>
    </w:p>
    <w:p w14:paraId="508710FE" w14:textId="77777777" w:rsidR="00B747F9" w:rsidRDefault="00065529">
      <w:r>
        <w:t>Medical treatment on offer includes medication</w:t>
      </w:r>
      <w:r w:rsidR="00EE5B11">
        <w:t xml:space="preserve"> (such as antidepressants and painkillers), talking therapies (such as Cognitive Behavioural Therapy and counselling) and lifestyle changes (such as exercise and relaxation)</w:t>
      </w:r>
    </w:p>
    <w:p w14:paraId="6DBFE9D7" w14:textId="77777777" w:rsidR="00B747F9" w:rsidRDefault="00B747F9"/>
    <w:p w14:paraId="7CE82316" w14:textId="6F2E151A" w:rsidR="00065529" w:rsidRPr="003A6D54" w:rsidRDefault="003A6D54">
      <w:pPr>
        <w:rPr>
          <w:i/>
        </w:rPr>
      </w:pPr>
      <w:r w:rsidRPr="003A6D54">
        <w:rPr>
          <w:i/>
        </w:rPr>
        <w:t>Herbalist approach</w:t>
      </w:r>
      <w:r w:rsidR="00EE5B11" w:rsidRPr="003A6D54">
        <w:rPr>
          <w:i/>
        </w:rPr>
        <w:t xml:space="preserve"> </w:t>
      </w:r>
    </w:p>
    <w:p w14:paraId="73264679" w14:textId="3604C097" w:rsidR="00EB6BB0" w:rsidRDefault="00EB6BB0">
      <w:r>
        <w:t xml:space="preserve">A herbalist aims to </w:t>
      </w:r>
      <w:r w:rsidR="005528FA">
        <w:t xml:space="preserve">address </w:t>
      </w:r>
      <w:r>
        <w:t xml:space="preserve">the </w:t>
      </w:r>
      <w:r w:rsidRPr="001E1586">
        <w:t>underlying cause</w:t>
      </w:r>
      <w:r w:rsidR="004E790A" w:rsidRPr="001E1586">
        <w:t>(s)</w:t>
      </w:r>
      <w:r>
        <w:t xml:space="preserve"> of the FM, rather than</w:t>
      </w:r>
      <w:r w:rsidR="00B023EE">
        <w:t xml:space="preserve"> the</w:t>
      </w:r>
      <w:r>
        <w:t xml:space="preserve"> symptoms alone. </w:t>
      </w:r>
    </w:p>
    <w:p w14:paraId="76FE7FAC" w14:textId="77777777" w:rsidR="00EB6BB0" w:rsidRDefault="00EB6BB0"/>
    <w:p w14:paraId="651C76E5" w14:textId="77777777" w:rsidR="004F0175" w:rsidRDefault="00EB6BB0">
      <w:r>
        <w:t>Initially this will involve taking a thorough case history, for approximately one hour, asking questions about all organ systems, past medical history, family history, diet and lifestyle, in addition to those questions about symptoms currently being experienced. This allows the herbalist to begin to gain insight as to possi</w:t>
      </w:r>
      <w:r w:rsidR="004F0175">
        <w:t xml:space="preserve">ble underlying causes of the FM. </w:t>
      </w:r>
    </w:p>
    <w:p w14:paraId="6FE61D16" w14:textId="77777777" w:rsidR="004F0175" w:rsidRDefault="004F0175"/>
    <w:p w14:paraId="2B59BC1D" w14:textId="60436C2F" w:rsidR="00666128" w:rsidRDefault="004F0175">
      <w:r>
        <w:t>It is this thorough history taking which allows the herbalist to select and combine a number of herbs for each individual with FM –</w:t>
      </w:r>
      <w:r w:rsidR="004E790A">
        <w:t xml:space="preserve"> no two p</w:t>
      </w:r>
      <w:r w:rsidR="00674AE4">
        <w:t>eople</w:t>
      </w:r>
      <w:r w:rsidR="004E790A">
        <w:t xml:space="preserve"> are the same! Consequently, i</w:t>
      </w:r>
      <w:r>
        <w:t xml:space="preserve">t </w:t>
      </w:r>
      <w:r w:rsidR="00C1327F">
        <w:t>would be very rare for two people with FM to be give</w:t>
      </w:r>
      <w:r w:rsidR="004E790A">
        <w:t xml:space="preserve">n </w:t>
      </w:r>
      <w:r w:rsidR="00666128">
        <w:t xml:space="preserve">the same combination of herbs – not all herbs are suitable for all people. For example, liquorice would not be suitable for someone with high blood pressure, or turmeric for someone taking warfarin. </w:t>
      </w:r>
    </w:p>
    <w:p w14:paraId="0B60168B" w14:textId="77777777" w:rsidR="00666128" w:rsidRDefault="00666128"/>
    <w:p w14:paraId="7F20C0CF" w14:textId="3B85848D" w:rsidR="001A1A98" w:rsidRPr="00592139" w:rsidRDefault="00666128">
      <w:r w:rsidRPr="00592139">
        <w:rPr>
          <w:i/>
        </w:rPr>
        <w:t xml:space="preserve">It is especially important to </w:t>
      </w:r>
      <w:r w:rsidR="00A5530A">
        <w:rPr>
          <w:i/>
        </w:rPr>
        <w:t xml:space="preserve">identify any factors which may be currently </w:t>
      </w:r>
      <w:r w:rsidR="006B1E5A" w:rsidRPr="00592139">
        <w:rPr>
          <w:i/>
        </w:rPr>
        <w:t>exacerbating the FM, for example, digestion issues.</w:t>
      </w:r>
      <w:r w:rsidR="00592139">
        <w:rPr>
          <w:i/>
        </w:rPr>
        <w:t xml:space="preserve"> </w:t>
      </w:r>
      <w:r w:rsidR="00592139" w:rsidRPr="00F31752">
        <w:t>It is impossible to overstate the</w:t>
      </w:r>
      <w:r w:rsidR="00592139">
        <w:rPr>
          <w:i/>
        </w:rPr>
        <w:t xml:space="preserve"> </w:t>
      </w:r>
      <w:r w:rsidR="00592139" w:rsidRPr="00F31752">
        <w:t>importance of this!</w:t>
      </w:r>
      <w:r w:rsidR="00ED24DC">
        <w:t xml:space="preserve"> </w:t>
      </w:r>
    </w:p>
    <w:p w14:paraId="42294856" w14:textId="77777777" w:rsidR="001A1A98" w:rsidRPr="001A1A98" w:rsidRDefault="001A1A98">
      <w:pPr>
        <w:rPr>
          <w:i/>
        </w:rPr>
      </w:pPr>
    </w:p>
    <w:p w14:paraId="627DE8DD" w14:textId="6CF6220F" w:rsidR="002542D0" w:rsidRDefault="002542D0">
      <w:pPr>
        <w:rPr>
          <w:i/>
        </w:rPr>
      </w:pPr>
      <w:r>
        <w:rPr>
          <w:i/>
        </w:rPr>
        <w:t>Herbs</w:t>
      </w:r>
      <w:r w:rsidR="002A5B47">
        <w:rPr>
          <w:i/>
        </w:rPr>
        <w:t xml:space="preserve"> selected</w:t>
      </w:r>
    </w:p>
    <w:p w14:paraId="02683B41" w14:textId="392324DD" w:rsidR="008641C2" w:rsidRDefault="001A1A98">
      <w:r w:rsidRPr="00E75C34">
        <w:rPr>
          <w:i/>
        </w:rPr>
        <w:t>Not all herbs are suitable (or safe) for all people.</w:t>
      </w:r>
      <w:r>
        <w:t xml:space="preserve"> </w:t>
      </w:r>
      <w:r w:rsidR="00021894">
        <w:t>Also, h</w:t>
      </w:r>
      <w:r w:rsidR="001570C1">
        <w:t>erbs are rarely given</w:t>
      </w:r>
      <w:r w:rsidR="00307124">
        <w:t xml:space="preserve"> singly</w:t>
      </w:r>
      <w:r w:rsidR="001570C1">
        <w:t xml:space="preserve">. </w:t>
      </w:r>
      <w:r w:rsidR="0084760B">
        <w:t>Rather, a combination</w:t>
      </w:r>
      <w:r w:rsidR="00A3101C">
        <w:t xml:space="preserve"> of herbs</w:t>
      </w:r>
      <w:r w:rsidR="0084760B">
        <w:t xml:space="preserve"> is selected which collectively address the person’s symptoms, whilst still taking the rest of their medical history into account. It is equally important for the herbs chosen to work well together.</w:t>
      </w:r>
      <w:r w:rsidR="00AC586C">
        <w:t xml:space="preserve"> Carefully selected herbs are able to augment the effects of each other.</w:t>
      </w:r>
      <w:r w:rsidR="009077AB">
        <w:t xml:space="preserve"> </w:t>
      </w:r>
      <w:bookmarkStart w:id="0" w:name="_GoBack"/>
      <w:bookmarkEnd w:id="0"/>
    </w:p>
    <w:p w14:paraId="2DD642EC" w14:textId="77777777" w:rsidR="00592139" w:rsidRDefault="00592139"/>
    <w:p w14:paraId="504324E8" w14:textId="1D42FE4E" w:rsidR="008F3F73" w:rsidRDefault="00597C7C" w:rsidP="00AD2C20">
      <w:pPr>
        <w:widowControl w:val="0"/>
        <w:autoSpaceDE w:val="0"/>
        <w:autoSpaceDN w:val="0"/>
        <w:adjustRightInd w:val="0"/>
        <w:spacing w:after="240"/>
        <w:rPr>
          <w:i/>
        </w:rPr>
      </w:pPr>
      <w:r>
        <w:rPr>
          <w:i/>
        </w:rPr>
        <w:t>S</w:t>
      </w:r>
      <w:r w:rsidR="009D691D" w:rsidRPr="009D691D">
        <w:rPr>
          <w:i/>
        </w:rPr>
        <w:t>ome research</w:t>
      </w:r>
      <w:r w:rsidR="008728E9">
        <w:rPr>
          <w:i/>
        </w:rPr>
        <w:t xml:space="preserve"> and information resources</w:t>
      </w:r>
      <w:r w:rsidR="00990CC0">
        <w:rPr>
          <w:i/>
        </w:rPr>
        <w:t xml:space="preserve"> </w:t>
      </w:r>
    </w:p>
    <w:p w14:paraId="201B6561" w14:textId="3AEBC035" w:rsidR="00650580" w:rsidRPr="009D691D" w:rsidRDefault="00650580" w:rsidP="00AD2C20">
      <w:pPr>
        <w:widowControl w:val="0"/>
        <w:autoSpaceDE w:val="0"/>
        <w:autoSpaceDN w:val="0"/>
        <w:adjustRightInd w:val="0"/>
        <w:spacing w:after="240"/>
        <w:rPr>
          <w:i/>
        </w:rPr>
      </w:pPr>
      <w:r>
        <w:rPr>
          <w:rFonts w:cs="Calibri"/>
        </w:rPr>
        <w:t xml:space="preserve">Brierley, S.M., Kelber, O. (2011). Use of natural products in gastrointestinal therapies. </w:t>
      </w:r>
      <w:r w:rsidRPr="00650580">
        <w:rPr>
          <w:rFonts w:cs="Calibri"/>
          <w:i/>
        </w:rPr>
        <w:t>Current Opinion in Pharmacology</w:t>
      </w:r>
      <w:r w:rsidR="003B02D5">
        <w:rPr>
          <w:rFonts w:cs="Calibri"/>
          <w:i/>
        </w:rPr>
        <w:t xml:space="preserve"> </w:t>
      </w:r>
      <w:r w:rsidR="003B02D5" w:rsidRPr="003B02D5">
        <w:rPr>
          <w:rFonts w:cs="Calibri"/>
          <w:b/>
        </w:rPr>
        <w:t>11</w:t>
      </w:r>
      <w:r w:rsidR="003B02D5">
        <w:rPr>
          <w:rFonts w:cs="Calibri"/>
        </w:rPr>
        <w:t xml:space="preserve"> (6): 604-611</w:t>
      </w:r>
    </w:p>
    <w:p w14:paraId="78CB1329" w14:textId="6A4A8584" w:rsidR="00556F14" w:rsidRDefault="00556F14" w:rsidP="00AD2C20">
      <w:pPr>
        <w:widowControl w:val="0"/>
        <w:autoSpaceDE w:val="0"/>
        <w:autoSpaceDN w:val="0"/>
        <w:adjustRightInd w:val="0"/>
        <w:spacing w:after="240"/>
        <w:rPr>
          <w:rFonts w:cs="Calibri"/>
        </w:rPr>
      </w:pPr>
      <w:r>
        <w:rPr>
          <w:rFonts w:cs="Calibri"/>
        </w:rPr>
        <w:lastRenderedPageBreak/>
        <w:t>Jurenka, J.S. (2009). Anti-inflammatory properties of curcumin</w:t>
      </w:r>
      <w:r w:rsidR="00BC16AC">
        <w:rPr>
          <w:rFonts w:cs="Calibri"/>
        </w:rPr>
        <w:t xml:space="preserve">, a major constituent of </w:t>
      </w:r>
      <w:r w:rsidR="00BC16AC" w:rsidRPr="00BC16AC">
        <w:rPr>
          <w:rFonts w:cs="Calibri"/>
          <w:i/>
        </w:rPr>
        <w:t>Curcuma longa</w:t>
      </w:r>
      <w:r w:rsidR="00BC16AC">
        <w:rPr>
          <w:rFonts w:cs="Calibri"/>
        </w:rPr>
        <w:t xml:space="preserve">: a review of preclinical and clinical research. </w:t>
      </w:r>
      <w:r w:rsidR="00BC16AC" w:rsidRPr="00BC16AC">
        <w:rPr>
          <w:rFonts w:cs="Calibri"/>
          <w:i/>
        </w:rPr>
        <w:t>Altern Med Rev</w:t>
      </w:r>
      <w:r w:rsidR="00BC16AC">
        <w:rPr>
          <w:rFonts w:cs="Calibri"/>
        </w:rPr>
        <w:t xml:space="preserve"> </w:t>
      </w:r>
      <w:r w:rsidR="00BC16AC" w:rsidRPr="00F57AEE">
        <w:rPr>
          <w:rFonts w:cs="Calibri"/>
          <w:b/>
        </w:rPr>
        <w:t>14</w:t>
      </w:r>
      <w:r w:rsidR="00BC16AC">
        <w:rPr>
          <w:rFonts w:cs="Calibri"/>
        </w:rPr>
        <w:t>: 141-153</w:t>
      </w:r>
    </w:p>
    <w:p w14:paraId="4211731B" w14:textId="240B4350" w:rsidR="00641620" w:rsidRPr="00641620" w:rsidRDefault="00641620" w:rsidP="00641620">
      <w:pPr>
        <w:rPr>
          <w:rFonts w:ascii="Times" w:eastAsia="Times New Roman" w:hAnsi="Times" w:cs="Times New Roman"/>
          <w:sz w:val="22"/>
          <w:szCs w:val="22"/>
          <w:lang w:val="en-GB"/>
        </w:rPr>
      </w:pPr>
      <w:r>
        <w:rPr>
          <w:rFonts w:cs="Calibri"/>
        </w:rPr>
        <w:t xml:space="preserve">Kim, D.C., Kim, S.H., Choi, B.H., Baek, N.I., Kim, D., Kim, M.J., Kim, K.T. (2005). Curcuma extract protects against gastric ulcers by blocking </w:t>
      </w:r>
      <w:r w:rsidRPr="00641620">
        <w:rPr>
          <w:rFonts w:ascii="Times" w:eastAsia="Times New Roman" w:hAnsi="Times" w:cs="Times New Roman"/>
          <w:sz w:val="22"/>
          <w:szCs w:val="22"/>
          <w:lang w:val="en-GB"/>
        </w:rPr>
        <w:t>H</w:t>
      </w:r>
      <w:r w:rsidRPr="00641620">
        <w:rPr>
          <w:rFonts w:ascii="Times" w:eastAsia="Times New Roman" w:hAnsi="Times" w:cs="Times New Roman"/>
          <w:sz w:val="22"/>
          <w:szCs w:val="22"/>
          <w:vertAlign w:val="subscript"/>
          <w:lang w:val="en-GB"/>
        </w:rPr>
        <w:t>2</w:t>
      </w:r>
      <w:r>
        <w:rPr>
          <w:rFonts w:ascii="Times" w:eastAsia="Times New Roman" w:hAnsi="Times" w:cs="Times New Roman"/>
          <w:sz w:val="22"/>
          <w:szCs w:val="22"/>
          <w:vertAlign w:val="subscript"/>
          <w:lang w:val="en-GB"/>
        </w:rPr>
        <w:t xml:space="preserve"> </w:t>
      </w:r>
      <w:r w:rsidRPr="00641620">
        <w:rPr>
          <w:rFonts w:eastAsia="Times New Roman" w:cs="Times New Roman"/>
          <w:lang w:val="en-GB"/>
        </w:rPr>
        <w:t>histamine receptors.</w:t>
      </w:r>
      <w:r w:rsidR="00902241">
        <w:rPr>
          <w:rFonts w:eastAsia="Times New Roman" w:cs="Times New Roman"/>
          <w:lang w:val="en-GB"/>
        </w:rPr>
        <w:t xml:space="preserve"> </w:t>
      </w:r>
      <w:r w:rsidR="00902241" w:rsidRPr="00073D9B">
        <w:rPr>
          <w:rFonts w:eastAsia="Times New Roman" w:cs="Times New Roman"/>
          <w:i/>
          <w:lang w:val="en-GB"/>
        </w:rPr>
        <w:t>Biol Pharm Bull</w:t>
      </w:r>
      <w:r w:rsidR="00902241">
        <w:rPr>
          <w:rFonts w:eastAsia="Times New Roman" w:cs="Times New Roman"/>
          <w:lang w:val="en-GB"/>
        </w:rPr>
        <w:t xml:space="preserve"> </w:t>
      </w:r>
      <w:r w:rsidR="00902241" w:rsidRPr="00902241">
        <w:rPr>
          <w:rFonts w:eastAsia="Times New Roman" w:cs="Times New Roman"/>
          <w:b/>
          <w:lang w:val="en-GB"/>
        </w:rPr>
        <w:t>28</w:t>
      </w:r>
      <w:r w:rsidR="00902241">
        <w:rPr>
          <w:rFonts w:eastAsia="Times New Roman" w:cs="Times New Roman"/>
          <w:lang w:val="en-GB"/>
        </w:rPr>
        <w:t>: 2220-2224</w:t>
      </w:r>
    </w:p>
    <w:p w14:paraId="32799DBD" w14:textId="44B67A7A" w:rsidR="00641620" w:rsidRPr="00641620" w:rsidRDefault="00641620" w:rsidP="00641620">
      <w:pPr>
        <w:rPr>
          <w:rFonts w:ascii="Times" w:eastAsia="Times New Roman" w:hAnsi="Times" w:cs="Times New Roman"/>
          <w:sz w:val="13"/>
          <w:szCs w:val="13"/>
          <w:lang w:val="en-GB"/>
        </w:rPr>
      </w:pPr>
    </w:p>
    <w:p w14:paraId="7035F918" w14:textId="53D651E7" w:rsidR="00B1156F" w:rsidRDefault="00B1156F" w:rsidP="00AD2C20">
      <w:pPr>
        <w:widowControl w:val="0"/>
        <w:autoSpaceDE w:val="0"/>
        <w:autoSpaceDN w:val="0"/>
        <w:adjustRightInd w:val="0"/>
        <w:spacing w:after="240"/>
        <w:rPr>
          <w:rFonts w:cs="Calibri"/>
        </w:rPr>
      </w:pPr>
      <w:r>
        <w:rPr>
          <w:rFonts w:cs="Calibri"/>
        </w:rPr>
        <w:t xml:space="preserve">Kleijnen, K., Knipschild, P. (1992). Drug profiles: Ginkgo biloba. </w:t>
      </w:r>
      <w:r w:rsidRPr="00FB39F3">
        <w:rPr>
          <w:rFonts w:cs="Calibri"/>
          <w:i/>
        </w:rPr>
        <w:t>Lancet</w:t>
      </w:r>
      <w:r>
        <w:rPr>
          <w:rFonts w:cs="Calibri"/>
        </w:rPr>
        <w:t xml:space="preserve"> </w:t>
      </w:r>
      <w:r w:rsidRPr="00055033">
        <w:rPr>
          <w:rFonts w:cs="Calibri"/>
          <w:b/>
        </w:rPr>
        <w:t>340</w:t>
      </w:r>
      <w:r w:rsidR="00F47F7E">
        <w:rPr>
          <w:rFonts w:cs="Calibri"/>
          <w:b/>
        </w:rPr>
        <w:t xml:space="preserve"> </w:t>
      </w:r>
      <w:r w:rsidR="00F47F7E" w:rsidRPr="00F47F7E">
        <w:rPr>
          <w:rFonts w:cs="Calibri"/>
        </w:rPr>
        <w:t>(8828)</w:t>
      </w:r>
      <w:r w:rsidRPr="00F47F7E">
        <w:rPr>
          <w:rFonts w:cs="Calibri"/>
        </w:rPr>
        <w:t>:</w:t>
      </w:r>
      <w:r>
        <w:rPr>
          <w:rFonts w:cs="Calibri"/>
        </w:rPr>
        <w:t xml:space="preserve"> 1136-1139</w:t>
      </w:r>
    </w:p>
    <w:p w14:paraId="76761435" w14:textId="0FEEA287" w:rsidR="004A7D1E" w:rsidRDefault="004A7D1E" w:rsidP="00AD2C20">
      <w:pPr>
        <w:widowControl w:val="0"/>
        <w:autoSpaceDE w:val="0"/>
        <w:autoSpaceDN w:val="0"/>
        <w:adjustRightInd w:val="0"/>
        <w:spacing w:after="240"/>
        <w:rPr>
          <w:rFonts w:cs="Calibri"/>
        </w:rPr>
      </w:pPr>
      <w:r>
        <w:rPr>
          <w:rFonts w:cs="Calibri"/>
        </w:rPr>
        <w:t xml:space="preserve">Lister, R.E. (2002). An open, pilot study to evaluate the potential benefits of Coenzyme Q10 combined with </w:t>
      </w:r>
      <w:r w:rsidRPr="004A7D1E">
        <w:rPr>
          <w:rFonts w:cs="Calibri"/>
          <w:i/>
        </w:rPr>
        <w:t>Ginkgo biloba</w:t>
      </w:r>
      <w:r>
        <w:rPr>
          <w:rFonts w:cs="Calibri"/>
        </w:rPr>
        <w:t xml:space="preserve"> extract in Fibromyalgia Syndrome.</w:t>
      </w:r>
      <w:r w:rsidR="00822823">
        <w:rPr>
          <w:rFonts w:cs="Calibri"/>
        </w:rPr>
        <w:t xml:space="preserve"> J </w:t>
      </w:r>
      <w:r w:rsidR="00822823" w:rsidRPr="00822823">
        <w:rPr>
          <w:rFonts w:cs="Calibri"/>
          <w:i/>
        </w:rPr>
        <w:t>Int Med Res</w:t>
      </w:r>
      <w:r w:rsidR="00220440">
        <w:rPr>
          <w:rFonts w:cs="Calibri"/>
          <w:i/>
        </w:rPr>
        <w:t xml:space="preserve"> </w:t>
      </w:r>
      <w:r w:rsidR="00220440" w:rsidRPr="00220440">
        <w:rPr>
          <w:rFonts w:cs="Calibri"/>
          <w:b/>
        </w:rPr>
        <w:t>30</w:t>
      </w:r>
      <w:r w:rsidR="00220440">
        <w:rPr>
          <w:rFonts w:cs="Calibri"/>
        </w:rPr>
        <w:t>: 195-199</w:t>
      </w:r>
    </w:p>
    <w:p w14:paraId="042E01E9" w14:textId="38867841" w:rsidR="00991E54" w:rsidRPr="00AD2C20" w:rsidRDefault="00DB2C87" w:rsidP="00991E54">
      <w:r>
        <w:rPr>
          <w:rFonts w:cs="Calibri"/>
        </w:rPr>
        <w:t>NHS Choices: Fibromyalgia</w:t>
      </w:r>
      <w:r w:rsidR="00991E54">
        <w:rPr>
          <w:rFonts w:cs="Calibri"/>
        </w:rPr>
        <w:t xml:space="preserve"> </w:t>
      </w:r>
      <w:r w:rsidR="00991E54" w:rsidRPr="00BE6766">
        <w:rPr>
          <w:rFonts w:cs="Calibri"/>
        </w:rPr>
        <w:t xml:space="preserve">[online]. Available from: </w:t>
      </w:r>
      <w:r w:rsidR="00991E54" w:rsidRPr="00EE5B11">
        <w:t>http://www.nhs.uk/Conditions/Fibromyalgia/Pages/</w:t>
      </w:r>
      <w:r w:rsidR="00991E54" w:rsidRPr="00BE6766">
        <w:rPr>
          <w:rFonts w:cs="Calibri"/>
        </w:rPr>
        <w:t>Introduction</w:t>
      </w:r>
      <w:r w:rsidR="00991E54" w:rsidRPr="00EE5B11">
        <w:t>.aspx</w:t>
      </w:r>
    </w:p>
    <w:p w14:paraId="6BEE740F" w14:textId="27D30B78" w:rsidR="00DB2C87" w:rsidRPr="00BE6766" w:rsidRDefault="00991E54" w:rsidP="00AD2C20">
      <w:pPr>
        <w:widowControl w:val="0"/>
        <w:autoSpaceDE w:val="0"/>
        <w:autoSpaceDN w:val="0"/>
        <w:adjustRightInd w:val="0"/>
        <w:spacing w:after="240"/>
        <w:rPr>
          <w:rFonts w:cs="Times"/>
        </w:rPr>
      </w:pPr>
      <w:r w:rsidRPr="00BE6766">
        <w:rPr>
          <w:rFonts w:cs="Calibri"/>
        </w:rPr>
        <w:t>[Accessed 21</w:t>
      </w:r>
      <w:r w:rsidRPr="00BE6766">
        <w:rPr>
          <w:rFonts w:cs="Calibri"/>
          <w:vertAlign w:val="superscript"/>
        </w:rPr>
        <w:t>st</w:t>
      </w:r>
      <w:r w:rsidRPr="00BE6766">
        <w:rPr>
          <w:rFonts w:cs="Calibri"/>
        </w:rPr>
        <w:t xml:space="preserve"> September, 2014]</w:t>
      </w:r>
    </w:p>
    <w:p w14:paraId="0E9B6F5C" w14:textId="6AB80D4C" w:rsidR="00AD2C20" w:rsidRDefault="00AD2C20" w:rsidP="00AD2C20">
      <w:pPr>
        <w:widowControl w:val="0"/>
        <w:autoSpaceDE w:val="0"/>
        <w:autoSpaceDN w:val="0"/>
        <w:adjustRightInd w:val="0"/>
        <w:spacing w:after="240"/>
        <w:rPr>
          <w:rFonts w:cs="Calibri"/>
        </w:rPr>
      </w:pPr>
      <w:r w:rsidRPr="00AD2C20">
        <w:rPr>
          <w:rFonts w:cs="Calibri"/>
        </w:rPr>
        <w:t xml:space="preserve">Simon, C., Everitt, H. &amp; Dorp, F. (2010). </w:t>
      </w:r>
      <w:r w:rsidRPr="00AD2C20">
        <w:rPr>
          <w:rFonts w:cs="Calibri"/>
          <w:i/>
          <w:iCs/>
        </w:rPr>
        <w:t xml:space="preserve">Oxford Handbook of General Practice, </w:t>
      </w:r>
      <w:r w:rsidRPr="00AD2C20">
        <w:rPr>
          <w:rFonts w:cs="Calibri"/>
        </w:rPr>
        <w:t>3</w:t>
      </w:r>
      <w:r w:rsidRPr="00AD2C20">
        <w:rPr>
          <w:rFonts w:cs="Calibri"/>
          <w:position w:val="13"/>
        </w:rPr>
        <w:t xml:space="preserve">rd </w:t>
      </w:r>
      <w:r w:rsidRPr="00AD2C20">
        <w:rPr>
          <w:rFonts w:cs="Calibri"/>
        </w:rPr>
        <w:t>Ed. Oxford: Oxford University Press. P538</w:t>
      </w:r>
    </w:p>
    <w:p w14:paraId="2D964285" w14:textId="1C670706" w:rsidR="00756899" w:rsidRDefault="00756899" w:rsidP="00AD2C20">
      <w:pPr>
        <w:widowControl w:val="0"/>
        <w:autoSpaceDE w:val="0"/>
        <w:autoSpaceDN w:val="0"/>
        <w:adjustRightInd w:val="0"/>
        <w:spacing w:after="240"/>
        <w:rPr>
          <w:rFonts w:cs="Calibri"/>
        </w:rPr>
      </w:pPr>
      <w:r>
        <w:rPr>
          <w:rFonts w:cs="Calibri"/>
        </w:rPr>
        <w:t xml:space="preserve">Uehleke, B., Muller, J., Stange, R., Kelber, O., Melzer, J. </w:t>
      </w:r>
      <w:r w:rsidR="000570AC">
        <w:rPr>
          <w:rFonts w:cs="Calibri"/>
        </w:rPr>
        <w:t xml:space="preserve">(2013). Willow bark extract STW 33-1 in the long-term treatment of outpatients with rheumatic pain mainly osteoarthritis or back pain. </w:t>
      </w:r>
      <w:r w:rsidR="000570AC" w:rsidRPr="000570AC">
        <w:rPr>
          <w:rFonts w:cs="Calibri"/>
          <w:i/>
        </w:rPr>
        <w:t>Phytomedicine</w:t>
      </w:r>
      <w:r w:rsidR="00347AA5">
        <w:rPr>
          <w:rFonts w:cs="Calibri"/>
          <w:i/>
        </w:rPr>
        <w:t xml:space="preserve"> </w:t>
      </w:r>
      <w:r w:rsidR="00347AA5" w:rsidRPr="00347AA5">
        <w:rPr>
          <w:rFonts w:cs="Calibri"/>
          <w:b/>
        </w:rPr>
        <w:t>20:</w:t>
      </w:r>
      <w:r w:rsidR="00347AA5">
        <w:rPr>
          <w:rFonts w:cs="Calibri"/>
        </w:rPr>
        <w:t xml:space="preserve"> 980-984</w:t>
      </w:r>
    </w:p>
    <w:p w14:paraId="6C0D9EC3" w14:textId="0E880C46" w:rsidR="0012269C" w:rsidRPr="00347AA5" w:rsidRDefault="0012269C" w:rsidP="00AD2C20">
      <w:pPr>
        <w:widowControl w:val="0"/>
        <w:autoSpaceDE w:val="0"/>
        <w:autoSpaceDN w:val="0"/>
        <w:adjustRightInd w:val="0"/>
        <w:spacing w:after="240"/>
        <w:rPr>
          <w:rFonts w:cs="Times"/>
        </w:rPr>
      </w:pPr>
      <w:r>
        <w:rPr>
          <w:rFonts w:cs="Calibri"/>
        </w:rPr>
        <w:t xml:space="preserve">Vitetta, L., Cicuttinin, F., Sali, A. (2008). </w:t>
      </w:r>
      <w:r w:rsidR="00415073">
        <w:rPr>
          <w:rFonts w:cs="Calibri"/>
        </w:rPr>
        <w:t xml:space="preserve">Alternative therapies for musculoskeletal conditions. </w:t>
      </w:r>
      <w:r w:rsidRPr="0012269C">
        <w:rPr>
          <w:rFonts w:cs="Calibri"/>
          <w:i/>
        </w:rPr>
        <w:t>Best Practice &amp; Research Clinical</w:t>
      </w:r>
      <w:r>
        <w:rPr>
          <w:rFonts w:cs="Calibri"/>
        </w:rPr>
        <w:t xml:space="preserve"> </w:t>
      </w:r>
      <w:r w:rsidRPr="0012269C">
        <w:rPr>
          <w:rFonts w:cs="Calibri"/>
          <w:i/>
        </w:rPr>
        <w:t>Rheumatology</w:t>
      </w:r>
      <w:r>
        <w:rPr>
          <w:rFonts w:cs="Calibri"/>
        </w:rPr>
        <w:t xml:space="preserve"> </w:t>
      </w:r>
      <w:r w:rsidRPr="0012269C">
        <w:rPr>
          <w:rFonts w:cs="Calibri"/>
          <w:b/>
        </w:rPr>
        <w:t>22</w:t>
      </w:r>
      <w:r>
        <w:rPr>
          <w:rFonts w:cs="Calibri"/>
        </w:rPr>
        <w:t>(3): 499-522</w:t>
      </w:r>
    </w:p>
    <w:sectPr w:rsidR="0012269C" w:rsidRPr="00347AA5" w:rsidSect="00945FB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BBDC4" w14:textId="77777777" w:rsidR="00756899" w:rsidRDefault="00756899" w:rsidP="0014177D">
      <w:r>
        <w:separator/>
      </w:r>
    </w:p>
  </w:endnote>
  <w:endnote w:type="continuationSeparator" w:id="0">
    <w:p w14:paraId="2B5DDA94" w14:textId="77777777" w:rsidR="00756899" w:rsidRDefault="00756899" w:rsidP="0014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2634" w14:textId="77777777" w:rsidR="00756899" w:rsidRDefault="00756899" w:rsidP="0014177D">
      <w:r>
        <w:separator/>
      </w:r>
    </w:p>
  </w:footnote>
  <w:footnote w:type="continuationSeparator" w:id="0">
    <w:p w14:paraId="462B383D" w14:textId="77777777" w:rsidR="00756899" w:rsidRDefault="00756899" w:rsidP="00141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E6"/>
    <w:rsid w:val="00021894"/>
    <w:rsid w:val="00055033"/>
    <w:rsid w:val="000570AC"/>
    <w:rsid w:val="00065529"/>
    <w:rsid w:val="00073D9B"/>
    <w:rsid w:val="0008231B"/>
    <w:rsid w:val="001206C2"/>
    <w:rsid w:val="0012269C"/>
    <w:rsid w:val="0014177D"/>
    <w:rsid w:val="001570C1"/>
    <w:rsid w:val="001732F1"/>
    <w:rsid w:val="00187844"/>
    <w:rsid w:val="001A1A98"/>
    <w:rsid w:val="001B770C"/>
    <w:rsid w:val="001D0B15"/>
    <w:rsid w:val="001D4B35"/>
    <w:rsid w:val="001E1586"/>
    <w:rsid w:val="00203E33"/>
    <w:rsid w:val="00214DA9"/>
    <w:rsid w:val="00220440"/>
    <w:rsid w:val="00230A80"/>
    <w:rsid w:val="002542D0"/>
    <w:rsid w:val="002A5B47"/>
    <w:rsid w:val="00307124"/>
    <w:rsid w:val="00322908"/>
    <w:rsid w:val="00347AA5"/>
    <w:rsid w:val="00370C1A"/>
    <w:rsid w:val="003A6D54"/>
    <w:rsid w:val="003B02D5"/>
    <w:rsid w:val="003B5974"/>
    <w:rsid w:val="00415073"/>
    <w:rsid w:val="00477D7C"/>
    <w:rsid w:val="00477E03"/>
    <w:rsid w:val="0048601B"/>
    <w:rsid w:val="004A7D1E"/>
    <w:rsid w:val="004E790A"/>
    <w:rsid w:val="004F0175"/>
    <w:rsid w:val="00513886"/>
    <w:rsid w:val="005528FA"/>
    <w:rsid w:val="00556F14"/>
    <w:rsid w:val="00592139"/>
    <w:rsid w:val="00597C7C"/>
    <w:rsid w:val="005A33C0"/>
    <w:rsid w:val="00621E84"/>
    <w:rsid w:val="00641620"/>
    <w:rsid w:val="00650580"/>
    <w:rsid w:val="00654B9D"/>
    <w:rsid w:val="00666128"/>
    <w:rsid w:val="006748DA"/>
    <w:rsid w:val="00674AE4"/>
    <w:rsid w:val="006B1E5A"/>
    <w:rsid w:val="00716CE5"/>
    <w:rsid w:val="00723A5E"/>
    <w:rsid w:val="00756899"/>
    <w:rsid w:val="007A42CB"/>
    <w:rsid w:val="00822823"/>
    <w:rsid w:val="0084760B"/>
    <w:rsid w:val="008641C2"/>
    <w:rsid w:val="008728E9"/>
    <w:rsid w:val="008A7007"/>
    <w:rsid w:val="008C1FA1"/>
    <w:rsid w:val="008C4551"/>
    <w:rsid w:val="008F3F73"/>
    <w:rsid w:val="00902241"/>
    <w:rsid w:val="009077AB"/>
    <w:rsid w:val="00907F64"/>
    <w:rsid w:val="00935F5A"/>
    <w:rsid w:val="00945FB2"/>
    <w:rsid w:val="0096466F"/>
    <w:rsid w:val="009826C8"/>
    <w:rsid w:val="00990CC0"/>
    <w:rsid w:val="00991E54"/>
    <w:rsid w:val="009A0BEA"/>
    <w:rsid w:val="009D691D"/>
    <w:rsid w:val="00A3101C"/>
    <w:rsid w:val="00A34AAF"/>
    <w:rsid w:val="00A5530A"/>
    <w:rsid w:val="00A64C96"/>
    <w:rsid w:val="00AC586C"/>
    <w:rsid w:val="00AD2C20"/>
    <w:rsid w:val="00B023EE"/>
    <w:rsid w:val="00B1156F"/>
    <w:rsid w:val="00B262A0"/>
    <w:rsid w:val="00B3041A"/>
    <w:rsid w:val="00B32060"/>
    <w:rsid w:val="00B74701"/>
    <w:rsid w:val="00B747F9"/>
    <w:rsid w:val="00BC16AC"/>
    <w:rsid w:val="00BE55A3"/>
    <w:rsid w:val="00BE6766"/>
    <w:rsid w:val="00C1327F"/>
    <w:rsid w:val="00CA295A"/>
    <w:rsid w:val="00CF71FB"/>
    <w:rsid w:val="00D00493"/>
    <w:rsid w:val="00D10152"/>
    <w:rsid w:val="00D536E6"/>
    <w:rsid w:val="00DB290A"/>
    <w:rsid w:val="00DB2C87"/>
    <w:rsid w:val="00E60A1F"/>
    <w:rsid w:val="00E75C34"/>
    <w:rsid w:val="00EB6BB0"/>
    <w:rsid w:val="00ED24DC"/>
    <w:rsid w:val="00EE5B11"/>
    <w:rsid w:val="00F31752"/>
    <w:rsid w:val="00F47F7E"/>
    <w:rsid w:val="00F57AEE"/>
    <w:rsid w:val="00F77CEE"/>
    <w:rsid w:val="00F83889"/>
    <w:rsid w:val="00FB39F3"/>
    <w:rsid w:val="00FC4729"/>
    <w:rsid w:val="00FC5158"/>
    <w:rsid w:val="00FD3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64B8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77D"/>
    <w:pPr>
      <w:tabs>
        <w:tab w:val="center" w:pos="4320"/>
        <w:tab w:val="right" w:pos="8640"/>
      </w:tabs>
    </w:pPr>
  </w:style>
  <w:style w:type="character" w:customStyle="1" w:styleId="HeaderChar">
    <w:name w:val="Header Char"/>
    <w:basedOn w:val="DefaultParagraphFont"/>
    <w:link w:val="Header"/>
    <w:uiPriority w:val="99"/>
    <w:rsid w:val="0014177D"/>
  </w:style>
  <w:style w:type="paragraph" w:styleId="Footer">
    <w:name w:val="footer"/>
    <w:basedOn w:val="Normal"/>
    <w:link w:val="FooterChar"/>
    <w:uiPriority w:val="99"/>
    <w:unhideWhenUsed/>
    <w:rsid w:val="0014177D"/>
    <w:pPr>
      <w:tabs>
        <w:tab w:val="center" w:pos="4320"/>
        <w:tab w:val="right" w:pos="8640"/>
      </w:tabs>
    </w:pPr>
  </w:style>
  <w:style w:type="character" w:customStyle="1" w:styleId="FooterChar">
    <w:name w:val="Footer Char"/>
    <w:basedOn w:val="DefaultParagraphFont"/>
    <w:link w:val="Footer"/>
    <w:uiPriority w:val="99"/>
    <w:rsid w:val="001417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77D"/>
    <w:pPr>
      <w:tabs>
        <w:tab w:val="center" w:pos="4320"/>
        <w:tab w:val="right" w:pos="8640"/>
      </w:tabs>
    </w:pPr>
  </w:style>
  <w:style w:type="character" w:customStyle="1" w:styleId="HeaderChar">
    <w:name w:val="Header Char"/>
    <w:basedOn w:val="DefaultParagraphFont"/>
    <w:link w:val="Header"/>
    <w:uiPriority w:val="99"/>
    <w:rsid w:val="0014177D"/>
  </w:style>
  <w:style w:type="paragraph" w:styleId="Footer">
    <w:name w:val="footer"/>
    <w:basedOn w:val="Normal"/>
    <w:link w:val="FooterChar"/>
    <w:uiPriority w:val="99"/>
    <w:unhideWhenUsed/>
    <w:rsid w:val="0014177D"/>
    <w:pPr>
      <w:tabs>
        <w:tab w:val="center" w:pos="4320"/>
        <w:tab w:val="right" w:pos="8640"/>
      </w:tabs>
    </w:pPr>
  </w:style>
  <w:style w:type="character" w:customStyle="1" w:styleId="FooterChar">
    <w:name w:val="Footer Char"/>
    <w:basedOn w:val="DefaultParagraphFont"/>
    <w:link w:val="Footer"/>
    <w:uiPriority w:val="99"/>
    <w:rsid w:val="0014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3178">
      <w:bodyDiv w:val="1"/>
      <w:marLeft w:val="0"/>
      <w:marRight w:val="0"/>
      <w:marTop w:val="0"/>
      <w:marBottom w:val="0"/>
      <w:divBdr>
        <w:top w:val="none" w:sz="0" w:space="0" w:color="auto"/>
        <w:left w:val="none" w:sz="0" w:space="0" w:color="auto"/>
        <w:bottom w:val="none" w:sz="0" w:space="0" w:color="auto"/>
        <w:right w:val="none" w:sz="0" w:space="0" w:color="auto"/>
      </w:divBdr>
      <w:divsChild>
        <w:div w:id="450823854">
          <w:marLeft w:val="0"/>
          <w:marRight w:val="0"/>
          <w:marTop w:val="0"/>
          <w:marBottom w:val="0"/>
          <w:divBdr>
            <w:top w:val="none" w:sz="0" w:space="0" w:color="auto"/>
            <w:left w:val="none" w:sz="0" w:space="0" w:color="auto"/>
            <w:bottom w:val="none" w:sz="0" w:space="0" w:color="auto"/>
            <w:right w:val="none" w:sz="0" w:space="0" w:color="auto"/>
          </w:divBdr>
        </w:div>
        <w:div w:id="1236281157">
          <w:marLeft w:val="0"/>
          <w:marRight w:val="0"/>
          <w:marTop w:val="0"/>
          <w:marBottom w:val="0"/>
          <w:divBdr>
            <w:top w:val="none" w:sz="0" w:space="0" w:color="auto"/>
            <w:left w:val="none" w:sz="0" w:space="0" w:color="auto"/>
            <w:bottom w:val="none" w:sz="0" w:space="0" w:color="auto"/>
            <w:right w:val="none" w:sz="0" w:space="0" w:color="auto"/>
          </w:divBdr>
        </w:div>
      </w:divsChild>
    </w:div>
    <w:div w:id="735857800">
      <w:bodyDiv w:val="1"/>
      <w:marLeft w:val="0"/>
      <w:marRight w:val="0"/>
      <w:marTop w:val="0"/>
      <w:marBottom w:val="0"/>
      <w:divBdr>
        <w:top w:val="none" w:sz="0" w:space="0" w:color="auto"/>
        <w:left w:val="none" w:sz="0" w:space="0" w:color="auto"/>
        <w:bottom w:val="none" w:sz="0" w:space="0" w:color="auto"/>
        <w:right w:val="none" w:sz="0" w:space="0" w:color="auto"/>
      </w:divBdr>
      <w:divsChild>
        <w:div w:id="258566293">
          <w:marLeft w:val="0"/>
          <w:marRight w:val="0"/>
          <w:marTop w:val="0"/>
          <w:marBottom w:val="0"/>
          <w:divBdr>
            <w:top w:val="none" w:sz="0" w:space="0" w:color="auto"/>
            <w:left w:val="none" w:sz="0" w:space="0" w:color="auto"/>
            <w:bottom w:val="none" w:sz="0" w:space="0" w:color="auto"/>
            <w:right w:val="none" w:sz="0" w:space="0" w:color="auto"/>
          </w:divBdr>
        </w:div>
        <w:div w:id="1108962126">
          <w:marLeft w:val="0"/>
          <w:marRight w:val="0"/>
          <w:marTop w:val="0"/>
          <w:marBottom w:val="0"/>
          <w:divBdr>
            <w:top w:val="none" w:sz="0" w:space="0" w:color="auto"/>
            <w:left w:val="none" w:sz="0" w:space="0" w:color="auto"/>
            <w:bottom w:val="none" w:sz="0" w:space="0" w:color="auto"/>
            <w:right w:val="none" w:sz="0" w:space="0" w:color="auto"/>
          </w:divBdr>
        </w:div>
      </w:divsChild>
    </w:div>
    <w:div w:id="907111830">
      <w:bodyDiv w:val="1"/>
      <w:marLeft w:val="0"/>
      <w:marRight w:val="0"/>
      <w:marTop w:val="0"/>
      <w:marBottom w:val="0"/>
      <w:divBdr>
        <w:top w:val="none" w:sz="0" w:space="0" w:color="auto"/>
        <w:left w:val="none" w:sz="0" w:space="0" w:color="auto"/>
        <w:bottom w:val="none" w:sz="0" w:space="0" w:color="auto"/>
        <w:right w:val="none" w:sz="0" w:space="0" w:color="auto"/>
      </w:divBdr>
      <w:divsChild>
        <w:div w:id="773864952">
          <w:marLeft w:val="0"/>
          <w:marRight w:val="0"/>
          <w:marTop w:val="0"/>
          <w:marBottom w:val="0"/>
          <w:divBdr>
            <w:top w:val="none" w:sz="0" w:space="0" w:color="auto"/>
            <w:left w:val="none" w:sz="0" w:space="0" w:color="auto"/>
            <w:bottom w:val="none" w:sz="0" w:space="0" w:color="auto"/>
            <w:right w:val="none" w:sz="0" w:space="0" w:color="auto"/>
          </w:divBdr>
        </w:div>
        <w:div w:id="204396889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550</Words>
  <Characters>3140</Characters>
  <Application>Microsoft Macintosh Word</Application>
  <DocSecurity>0</DocSecurity>
  <Lines>26</Lines>
  <Paragraphs>7</Paragraphs>
  <ScaleCrop>false</ScaleCrop>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110</cp:revision>
  <dcterms:created xsi:type="dcterms:W3CDTF">2014-09-16T18:55:00Z</dcterms:created>
  <dcterms:modified xsi:type="dcterms:W3CDTF">2014-09-30T18:20:00Z</dcterms:modified>
</cp:coreProperties>
</file>